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2021级以后各专业毕业额定学分要求</w:t>
      </w:r>
    </w:p>
    <w:bookmarkEnd w:id="0"/>
    <w:tbl>
      <w:tblPr>
        <w:tblStyle w:val="3"/>
        <w:tblW w:w="831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159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32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 业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2019-2020级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320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动物医学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200+8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20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食品营养与健康、食品质量与安全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165+8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167+8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5320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科学、农业水利工程、水文与水资源工程、能源与动力工程、土木工程、水利水电工程、电气工程及其自动化、环境工程、机械设计制造及其自动化、农业机械化及其自动化、机械电子工程、电子信息工程、车辆工程、食品科学与工程、葡萄与葡萄酒工程等15个专业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170+8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172+8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320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之外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的专业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160+8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162+8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3C02"/>
    <w:rsid w:val="14B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2021-05-26T04:16:00Z</dcterms:created>
  <dc:creator>我心飞翔</dc:creator>
  <cp:lastModifiedBy>我心飞翔</cp:lastModifiedBy>
  <dcterms:modified xsi:type="dcterms:W3CDTF">2021-05-26T04:18:09Z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B9AFBCAF32ED4E0F83A2930E2B2A3A8E</vt:lpwstr>
  </property>
</Properties>
</file>